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Práva a povinnosti pacientů</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Pacient má právo na poskytování zdravotních služeb na náležité odborné úrovni, kterou se rozumí poskytování zdravotních služeb podle pravidel vědy a uznávaných medicínských postupů, při respektování individuality pacienta, s ohledem na konkrétní podmínky a objektivní možnosti.</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Ve výjimečných případech mohou být uvedená práva vyloučena nebo omezena. Tyto výjimky stanoví zákon č. 372/2011 Sb., o zdravotních službách (dále jen zákon), příp. další obecně závazné právní předpisy.</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8"/>
          <w:szCs w:val="28"/>
        </w:rPr>
      </w:pPr>
      <w:r>
        <w:rPr>
          <w:rFonts w:eastAsia="Times New Roman"/>
          <w:b/>
          <w:bCs/>
          <w:sz w:val="28"/>
          <w:szCs w:val="28"/>
        </w:rPr>
        <w:t>Pacient má při poskytování zdravotních služeb dále právo:</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na úctu, důstojné zacházení, na ohleduplnost a respektování soukromí při poskytování zdravotních služeb v souladu s charakterem poskytovaných zdravotních služeb,</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zvolit si poskytovatele oprávněného k poskytnutí zdravotních služeb, které odpovídají zdravotním potřebám pacienta, a zdravotnické zařízení,</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vyžádat si konzultační služby od jiného poskytovatele, popřípadě zdravotnického pracovníka, než který mu poskytuje zdravotní služby; to neplatí, jde-li o poskytování neodkladné péče,</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vyžádat si zprávu o poskytnutých zdravotních službách,</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na nepřetržitou přítomnost zákonného zástupce, popřípadě osoby určené zákonným zástupcem, pěstouna nebo jiné osoby, do jejíž péče byl pacient na základě rozhodnutí soudu nebo jiného orgánu svěřen, je-li nezletilou osobou,</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na nepřetržitou přítomnost opatrovníka, popřípadě osoby určené opatrovníkem, je-li osobou, jejíž svéprávnost je omezena tak, že není způsobilá posoudit poskytnutí zdravotních služeb, popřípadě důsledky jejich poskytnutí,</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na přítomnost osoby blízké nebo osoby určené pacientem, a to v souladu s jinými právními předpisy a vnitřním řádem, a nenaruší-li přítomnost těchto osob poskytnutí zdravotních služeb, pokud to umožňuje vybavení VFN nebo nebude narušeno poskytování zdravotních služeb anebo takový pobyt není na základě jiného právního předpisu vyloučen,</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pokud je osobou, jejíž svéprávnost je omezena tak, že není způsobilá posoudit poskytnutí zdravotních služeb, popřípadě důsledky jejich poskytnutí nebo který je nezletilý požadovat, aby při poskytování zdravotních služeb nebyla přítomna osoba uvedená v předchozím bodu, uvádí-li, že ho týrá nebo jinak zneužívá či zanedbává,</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být předem informován o ceně poskytovaných zdravotních služeb nehrazených nebo částečně hrazených z veřejného zdravotního pojištění a o způsobu jejich úhrady, pokud to jeho zdravotní stav umožňuje,</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odmítnout přítomnost osob, které nejsou na poskytování zdravotních služeb přímo zúčastněny, a osob připravujících se na výkon povolání zdravotnického pracovníka,</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t>na poskytování zdravotních služeb v co nejméně omezujícím prostředí při zajištění kvality a bezpečí poskytovaných zdravotních služeb.</w:t>
      </w:r>
    </w:p>
    <w:p>
      <w:pPr>
        <w:ind w:left="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b/>
          <w:sz w:val="28"/>
          <w:szCs w:val="28"/>
        </w:rPr>
        <w:t>Pacient se smyslovým postižením nebo s těžkými komunikačními problémy</w:t>
      </w:r>
      <w:r>
        <w:rPr>
          <w:rFonts w:eastAsia="Times New Roman"/>
          <w:sz w:val="28"/>
          <w:szCs w:val="28"/>
        </w:rPr>
        <w:t>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b/>
          <w:sz w:val="28"/>
          <w:szCs w:val="28"/>
        </w:rPr>
        <w:t>Pacient se smyslovým nebo tělesným postižením, který využívá psa se speciálním výcvikem</w:t>
      </w:r>
      <w:r>
        <w:rPr>
          <w:rFonts w:eastAsia="Times New Roman"/>
          <w:sz w:val="28"/>
          <w:szCs w:val="28"/>
        </w:rPr>
        <w:t> (vodící pes nebo asistenční pes), má právo s ohledem na svůj aktuální zdravotní stav na doprovod a přítomnost psa u sebe, a to způsobem stanoveným vnitřním řádem tak, aby nebyla porušována práva ostatních pacientů.</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b/>
          <w:sz w:val="28"/>
          <w:szCs w:val="28"/>
        </w:rPr>
        <w:t>Pacient, který nerozumí českému jazyku</w:t>
      </w:r>
      <w:r>
        <w:rPr>
          <w:rFonts w:eastAsia="Times New Roman"/>
          <w:sz w:val="28"/>
          <w:szCs w:val="28"/>
        </w:rPr>
        <w:t>, si při plánované péči zajistí tlumočení vlastními silami a na vlastní náklady.</w:t>
      </w:r>
    </w:p>
    <w:p>
      <w:pPr>
        <w:pStyle w:val="para4"/>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Informování pacienta</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Zdravotnický pracovník je povinen informovat pacienta srozumitelným způsobem v dostatečném rozsahu o jeho zdravotním stavu a o navrženém individuálním léčebném postupu a všech jeho změnách (dále jen „informace o zdravotním stavu“), dále o dalších zdravotních službách a dalších možných sociálních službách, které mohou zlepšit jeho zdravotní stav a umožnit pacientovi nebo osobě určené pacientem klást doplňující otázky vztahující se k jeho zdravotnímu stavu a navrhovaným zdravotním službám, které musí být srozumitelně zodpovězeny.</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
          <w:bCs/>
          <w:sz w:val="28"/>
          <w:szCs w:val="28"/>
        </w:rPr>
        <w:t>Zdravotní služby se poskytují se souhlasem. </w:t>
      </w:r>
      <w:r>
        <w:rPr>
          <w:rFonts w:eastAsia="Times New Roman"/>
          <w:bCs/>
          <w:sz w:val="28"/>
          <w:szCs w:val="28"/>
        </w:rPr>
        <w:t>Pacient může odmítnout vyslovit souhlas s poskytnutím zdravotních služeb, nejde-li o případ, kdy lze zdravotní služby poskytnout bez souhlasu, bude mu tedy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 Pacient může svůj souhlas s poskytnutím zdravotních služeb i odvolat. Odvolání souhlasu není účinné, pokud již bylo započato provádění zdravotního výkonu, jehož přerušení může způsobit vážné poškození zdraví nebo ohrožení života pacienta.</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
          <w:bCs/>
          <w:sz w:val="28"/>
          <w:szCs w:val="28"/>
        </w:rPr>
        <w:t>Pacient má právo </w:t>
      </w:r>
      <w:r>
        <w:rPr>
          <w:rFonts w:eastAsia="Times New Roman"/>
          <w:bCs/>
          <w:sz w:val="28"/>
          <w:szCs w:val="28"/>
        </w:rPr>
        <w:t>nahlížet do zdravotnické dokumentace o něm vedené, pořizovat si výpisy nebo kopie, a to v přítomnosti osoby pověřené, přičemž nesmí být rušeno poskytování zdravotních služeb, a to do 30 dnů od obdržení žádosti pacienta.</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
          <w:bCs/>
          <w:sz w:val="28"/>
          <w:szCs w:val="28"/>
        </w:rPr>
        <w:t>Pacient může</w:t>
      </w:r>
      <w:r>
        <w:rPr>
          <w:rFonts w:eastAsia="Times New Roman"/>
          <w:bCs/>
          <w:sz w:val="28"/>
          <w:szCs w:val="28"/>
        </w:rPr>
        <w:t>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kdy pacient nemůže s ohledem na svůj zdravotní stav vyslovit souhlas s poskytováním zdravotních služeb, a nejde-li o zdravotní služby, které lze poskytnout bez souhlasu,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
          <w:bCs/>
          <w:sz w:val="28"/>
          <w:szCs w:val="28"/>
        </w:rPr>
        <w:t>Pacient může</w:t>
      </w:r>
      <w:r>
        <w:rPr>
          <w:rFonts w:eastAsia="Times New Roman"/>
          <w:bCs/>
          <w:sz w:val="28"/>
          <w:szCs w:val="28"/>
        </w:rPr>
        <w:t> pro případ, kdy by se dostal do takového zdravotního stavu, ve kterém nebude schopen vyslovit souhlas nebo nesouhlas s poskytnutím zdravotních služeb a způsobem jejich poskytnutí, tento souhlas nebo nesouhlas předem vyslovit (dále jen „dříve vyslovené přání“). Formu a další náležitosti upravuje zákon.</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8"/>
          <w:szCs w:val="28"/>
        </w:rPr>
      </w:pPr>
      <w:r>
        <w:rPr>
          <w:rFonts w:eastAsia="Times New Roman"/>
          <w:b/>
          <w:sz w:val="28"/>
          <w:szCs w:val="28"/>
        </w:rPr>
        <w:t>Pacient má také právo podat stížnost </w:t>
      </w:r>
      <w:r>
        <w:rPr>
          <w:rFonts w:eastAsia="Times New Roman"/>
          <w:sz w:val="28"/>
          <w:szCs w:val="28"/>
        </w:rPr>
        <w:t>proti postupu, při poskytování zdravotních služeb nebo proti činnostem souvisejícími se zdravotními službami.</w:t>
      </w:r>
    </w:p>
    <w:p>
      <w:pPr>
        <w:pStyle w:val="para4"/>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Povinnosti pacienta</w:t>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8"/>
          <w:szCs w:val="28"/>
        </w:rPr>
      </w:pPr>
      <w:r>
        <w:rPr>
          <w:rFonts w:eastAsia="Times New Roman"/>
          <w:b/>
          <w:bCs/>
          <w:sz w:val="28"/>
          <w:szCs w:val="28"/>
        </w:rPr>
        <w:t>Pacient je při poskytování zdravotních služeb povinen:</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dodržovat navržený individuální léčebný postup, pokud s poskytováním zdravotních služeb vyslovil souhlas,</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řídit se vnitřním řádem konkrétního zdravotnického pracoviště,</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uhradit Medicas s.r.o cenu poskytnutých zdravotních služeb nehrazených nebo částečně hrazených z veřejného zdravotního pojištění nebo jiných zdrojů, které mu byly poskytnuty s jeho souhlasem,</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pravdivě informovat ošetřujícího zdravotnického pracovníka o dosavadním vývoji zdravotního stavu, včetně informací o infekčních nemocech, o zdravotních službách poskytovaných jinými poskytovateli, o užívání léčivých přípravků, včetně užívání návykových látek, a dalších skutečnostech podstatných pro poskytování zdravotních služeb,</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nepožívat během léčby či náštěvy ordinace Medicas s.r.o  alkohol nebo jiné návykové látky a podrobit se na základě rozhodnutí ošetřujícího lékaře v odůvodněných případech vyšetřením za účelem prokázání, zda je nebo není pod vlivem alkoholu nebo jiných návykových látek,</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prokázat se občanským průkazem; pokud pacient neprokáže svoji totožnost a nebude se jednat o neodkladnou péči, může Medicas s.r.o  poskytnutí zdravotní služby odmítnout.</w:t>
      </w:r>
    </w:p>
    <w:p>
      <w:pPr>
        <w:ind w:left="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noProof/>
        </w:rPr>
        <w:drawing>
          <wp:anchor distT="89535" distB="89535" distL="89535" distR="89535" simplePos="0" relativeHeight="251658241" behindDoc="0" locked="0" layoutInCell="0" hidden="0" allowOverlap="1">
            <wp:simplePos x="0" y="0"/>
            <wp:positionH relativeFrom="page">
              <wp:posOffset>2947670</wp:posOffset>
            </wp:positionH>
            <wp:positionV relativeFrom="page">
              <wp:posOffset>3338830</wp:posOffset>
            </wp:positionV>
            <wp:extent cx="1299845" cy="1299845"/>
            <wp:effectExtent l="0" t="0" r="0" b="0"/>
            <wp:wrapSquare wrapText="bothSides"/>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a:extLst>
                        <a:ext uri="smNativeData">
                          <sm:smNativeData xmlns:sm="smNativeData" val="SMDATA_16_UQefYh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uAAAAAIIAAAAAAAAAAAAAAAAAAAAAAAAiEgAAAAAAAAAAAACKFAAA/wcAAP8HAAADAAAAIhIAAIoUAAAoAAAACAAAAAEAAAABAAAA"/>
                        </a:ext>
                      </a:extLst>
                    </pic:cNvPicPr>
                  </pic:nvPicPr>
                  <pic:blipFill>
                    <a:blip r:embed="rId8"/>
                    <a:stretch>
                      <a:fillRect/>
                    </a:stretch>
                  </pic:blipFill>
                  <pic:spPr>
                    <a:xfrm>
                      <a:off x="0" y="0"/>
                      <a:ext cx="1299845" cy="1299845"/>
                    </a:xfrm>
                    <a:prstGeom prst="rect">
                      <a:avLst/>
                    </a:prstGeom>
                    <a:noFill/>
                    <a:ln w="12700">
                      <a:noFill/>
                    </a:ln>
                  </pic:spPr>
                </pic:pic>
              </a:graphicData>
            </a:graphic>
          </wp:anchor>
        </w:drawing>
      </w:r>
      <w:r>
        <w:rPr>
          <w:rFonts w:eastAsia="Times New Roman"/>
          <w:bCs/>
          <w:sz w:val="28"/>
          <w:szCs w:val="28"/>
        </w:rPr>
      </w:r>
    </w:p>
    <w:p>
      <w:pPr>
        <w:ind w:left="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t xml:space="preserve">V Brně </w:t>
        <w:tab/>
        <w:tab/>
        <w:tab/>
        <w:tab/>
        <w:tab/>
        <w:tab/>
        <w:tab/>
        <w:tab/>
        <w:t>1. 2. 2022</w:t>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p>
      <w:pPr>
        <w:ind w:firstLine="708"/>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Cs/>
          <w:sz w:val="28"/>
          <w:szCs w:val="28"/>
        </w:rPr>
      </w:pPr>
      <w:r>
        <w:rPr>
          <w:rFonts w:eastAsia="Times New Roman"/>
          <w:bCs/>
          <w:sz w:val="28"/>
          <w:szCs w:val="28"/>
        </w:rPr>
      </w:r>
    </w:p>
    <w:sectPr>
      <w:footnotePr>
        <w:pos w:val="pageBottom"/>
        <w:numFmt w:val="decimal"/>
        <w:numStart w:val="1"/>
        <w:numRestart w:val="continuous"/>
      </w:footnotePr>
      <w:endnotePr>
        <w:pos w:val="docEnd"/>
        <w:numFmt w:val="lowerRoman"/>
        <w:numStart w:val="1"/>
        <w:numRestart w:val="continuous"/>
      </w:endnotePr>
      <w:headerReference w:type="default" r:id="rId9"/>
      <w:type w:val="continuous"/>
      <w:pgSz w:h="16839" w:w="11907"/>
      <w:pgMar w:left="1134" w:top="1134" w:right="1134" w:bottom="1134" w:header="567" w:footer="0"/>
      <w:paperSrc w:first="0" w:other="0" a="0" b="0"/>
      <w:pgNumType w:fmt="decimal"/>
      <w:tmGutter w:val="1"/>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Wingdings">
    <w:panose1 w:val="05000000000000000000"/>
    <w:charset w:val="02"/>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jc w:val="center"/>
      <w:rPr>
        <w:i/>
        <w:iCs/>
        <w:sz w:val="24"/>
        <w:szCs w:val="24"/>
      </w:rPr>
    </w:pPr>
    <w:r>
      <w:rPr>
        <w:i/>
        <w:iCs/>
        <w:sz w:val="24"/>
        <w:szCs w:val="24"/>
      </w:rPr>
      <w:t>Medicas s.r.o, provozovna Malinovského náměstí 5 Brno 602 00, IČ 14086964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ulka" w:pos="below" w:numFmt="decimal"/>
    <w:caption w:name="Číslo" w:pos="below" w:numFmt="decimal"/>
    <w:caption w:name="Obráze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0"/>
    <w:tmLastPosCaret>
      <w:tmLastPosPgfIdx w:val="57"/>
      <w:tmLastPosIdx w:val="0"/>
    </w:tmLastPosCaret>
    <w:tmLastPosAnchor>
      <w:tmLastPosPgfIdx w:val="0"/>
      <w:tmLastPosIdx w:val="0"/>
    </w:tmLastPosAnchor>
    <w:tmLastPosTblRect w:left="0" w:top="0" w:right="0" w:bottom="0"/>
  </w:tmLastPos>
  <w:tmAppRevision w:date="1654589265" w:val="104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Head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ální tabulka"/>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Head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ální tabulk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2022-03-16T07:20:27Z</dcterms:created>
  <dcterms:modified xsi:type="dcterms:W3CDTF">2022-06-07T08:07:45Z</dcterms:modified>
</cp:coreProperties>
</file>